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50"/>
        <w:gridCol w:w="1134"/>
        <w:gridCol w:w="794"/>
        <w:gridCol w:w="907"/>
        <w:gridCol w:w="2403"/>
        <w:gridCol w:w="1075"/>
        <w:gridCol w:w="1560"/>
        <w:gridCol w:w="1133"/>
        <w:gridCol w:w="1701"/>
        <w:gridCol w:w="1418"/>
      </w:tblGrid>
      <w:tr>
        <w:tc>
          <w:tcPr>
            <w:tcW w:w="719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 تماس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ناهيد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كرم زاد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تاثیر مکمل مناکینون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(MK-7)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 وضعیت متابولیکی، تغذیه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ای، التهابی و پروتئین غیر کربوکسیله ماتریکس در افراد مبتلا به دیابت نوع 2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24/8/97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اسماعیل فرجی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09148943151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دفاع25/5/1399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وحيد ملكي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مکمل یاری تورین بر سطوح سرمی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CTRP-3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آدیپونکتین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آیریزین، فاکتور رشد فیبروبلاست 21،سیرتوئین1، شاخص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های گلایسمیک، پروفایل لیپیدی،اکسیداتیو، التهابی و وضعیت تغذیه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 در بیماران مبتلا به دیابت نوع دو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11/5/97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مهدوی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علیزاده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09357097463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دفاع21/3/1399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سمانه عزيزي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مکمل یاری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L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سیترولین بر وضعیت تغذیه، متابولیکی، اکسیداتیو و التهابی و سطوح سرمی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L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سیترولین و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NOx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 بیماران مبتلا به دیابت نوع2: کار آزمایی بالینی تصادفی کنترل دار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24/8/97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مهدو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مجید مبصری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09177200691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دفاع22/5/1399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الناز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>واقف مهرباني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بهمن94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تاثیر رژیم غذایی کاهش وزن با یا بدون مکمل یاری پری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بیوتیک بر اندازه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تن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سنجی، وضعیت متابولیک و التهابی، نفوذپذیری روده، اندوتوکسمی و وضعیت افسردگی در زنان چاق مبتلا به اختلال افسردگی اساسی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30/1/97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فاطمه رنجبر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09143044360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دفاع24/5/1398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ندا لطفي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يقين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بهمن93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مورف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سم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ژن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FAAH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سطوح پلاسما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اندوکاناب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دها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ارتباط آنها با عوامل تنظ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کننده اشتها در زنان دارا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اضافه وزن و چاقبا و بدون اختلال پرخور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18/2/96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مهدوی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 ی دکتر علیزاده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09143016659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دفاع2/7/1399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عظيمه ايزدي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بهمن92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کوآنزیم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Q10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ویتامین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E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تنهایی و توامان بر وضعیت تغذیه ای، سطوح سرمی برخی هورمون های جنسی و آدیپوکین ها در زنان مبتلا به سندروم تخمدان پلی کیستیک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4/5/95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لعیا فرزدی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09138212720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دفاع2/8/1398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سودابه  علي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اشرفي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بهمن92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مکمل یاری ویتامین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 سطوح سرمی سیتروئین1، نشانگرهای آنزیورنز و آنزیم های متالوپروتئیناز ماتریکسی در افراد چاق مبتلا به کمبود ویتامین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D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31/3/95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09141048050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دفاع28/6/1398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فرشاد امیرخیزی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91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اثر مکمل خوراکی اسید آلفا لیپوییک بر وضعیت تغذیه ،سطوح سرمی نشانگرهای 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متابول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التهابی و سیتو کراتین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18 سرم در بیماران مبتلا به کبد چرب غیر الکلی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22/6/94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خوش باطن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Titr"/>
                <w:i/>
                <w:iCs/>
                <w:sz w:val="22"/>
                <w:szCs w:val="22"/>
                <w:rtl/>
              </w:rPr>
              <w:t>09143153789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دفاع17/6/1397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خاطره رضا زاده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90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مصرف مکمل عصاره هیدروالکلی برگ کنگر فرنگی بر وضعیت متابولیکی و آنتی اکسیدانی در افراد مبتلا به سندرم متابولیک در ارتباط با پلی مورفیسم ژن های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FTO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L2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7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CETP , TCF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26/4/93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رحمتی ، دکتر اصغری ، دکتر دل آذر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دفاع6/7/1396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شبنم سالک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90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اثرمکمل یاری ویتامین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برضخامت اینتیما- مدیای کاروتید و عوامل خطر مرتبط با بیماری های قلبی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عروقی در افراد مبتلا به سندروم متابولیک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 /3/93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ابوالحسن شاکری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اصغری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دفاع10/5/1396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زینب فغفوری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89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جدا سازی و شنا سا یی باکتری های بی هوازی با پتانسیل پرو بیوتیک از لبنیات تخمیری سنتی و بررسی اثرات ضد سرطانی آنها بر رده سلولهای سرطانی کولون (</w:t>
            </w:r>
            <w:proofErr w:type="spellStart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Caco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– 2 , HT- 29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27/5/92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پورقاسم و دکتر احمد یاری خسروشاهی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دفاع14/11/1394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آیدا مالک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89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اثر مکمل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L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کارنتین بر وضعیت تغذیه ای ، سطوح سرمی فاکتور های التهابی و اکسیداتیو آنزیم های متالوپروتئیناز ماتریکس و علائم بالینی زنان مبتلا به استئوآرتریت زانو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25/4/92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مهدوی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سوسن کلاهی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دفاع27/8/1394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الناز فرامرزی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87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مکمل یاری اسیدلینولئیک کونژوگه بر وضعیت تغذیه ای ، آنزیمهای ماتریکس متالوپروتئیناز ، فاکتورهای التهابی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اکسیداتیو در بیماران سرطانی کولورکتال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تحت درمان با رادیوتراپی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8/3/90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مهدوی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 زاده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09149110561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دفاع 20/6/92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پروین دهقان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87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مکمل یاری پری بیوتیک های اینولینی بر وضعیت آنتی اکسیدانی ، شاخصهای متابولیکی ، التهابی و ضد التهابی در بیماران مبتلا به دیابت نوع 2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19/4/90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پورقاسم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09144710299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دفاع 05/08/92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سمیه محمدی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88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تعیین اثر رژیم غذایی کم کالری بر سطح پلاسمایی برخی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microRNA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های درگیر در کنترل مقاومت به انسولین و متابولیسم لیپید در زنان چاق مبتلا به دیابت نوع دو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15/7/92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عارف حسینی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ابراهیمی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اصغری</w:t>
            </w:r>
          </w:p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دکترقنبریان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دفاع16/3/1395</w:t>
            </w:r>
          </w:p>
        </w:tc>
      </w:tr>
      <w:tr>
        <w:tc>
          <w:tcPr>
            <w:tcW w:w="71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زینب نیک نیاز</w:t>
            </w:r>
          </w:p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بهمن 88</w:t>
            </w:r>
          </w:p>
        </w:tc>
        <w:tc>
          <w:tcPr>
            <w:tcW w:w="2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قسمت گوشتی و کل میوه سنجد بر علائم بالینی، فاکتور های التهابی، آنزیم های متالوپروتئیناز ماتریکس، استرس اکسیداتیو و وضعیت تغذیه ای در بیماران مبتلا به استئوآرتریت زانو</w:t>
            </w:r>
          </w:p>
        </w:tc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11/4/91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مهدوی و دکتر استاد رحیمی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 اصغر ابراهیمی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>
            <w:pPr>
              <w:shd w:val="clear" w:color="auto" w:fill="FFFFFF" w:themeFill="background1"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دفاع 24/09/92</w:t>
            </w:r>
          </w:p>
        </w:tc>
      </w:tr>
    </w:tbl>
    <w:p>
      <w:pPr>
        <w:shd w:val="clear" w:color="auto" w:fill="FFFFFF" w:themeFill="background1"/>
        <w:bidi w:val="0"/>
        <w:spacing w:after="160" w:line="192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lastRenderedPageBreak/>
        <w:t>فارغ التحصیلان مقطع دکترای گروه بیوشیمی و رژیم درمانی</w:t>
      </w:r>
    </w:p>
    <w:p>
      <w:pPr>
        <w:shd w:val="clear" w:color="auto" w:fill="FFFFFF" w:themeFill="background1"/>
        <w:bidi w:val="0"/>
        <w:spacing w:after="160" w:line="168" w:lineRule="auto"/>
        <w:rPr>
          <w:rFonts w:cs="B Titr"/>
          <w:b/>
          <w:bCs/>
          <w:rtl/>
          <w:lang w:bidi="fa-IR"/>
        </w:rPr>
      </w:pPr>
    </w:p>
    <w:p>
      <w:pPr>
        <w:shd w:val="clear" w:color="auto" w:fill="FFFFFF" w:themeFill="background1"/>
        <w:spacing w:line="168" w:lineRule="auto"/>
        <w:jc w:val="center"/>
        <w:rPr>
          <w:rFonts w:cs="B Titr"/>
          <w:b/>
          <w:bCs/>
          <w:rtl/>
          <w:lang w:bidi="fa-IR"/>
        </w:rPr>
      </w:pPr>
    </w:p>
    <w:p>
      <w:pPr>
        <w:shd w:val="clear" w:color="auto" w:fill="FFFFFF" w:themeFill="background1"/>
        <w:jc w:val="center"/>
        <w:rPr>
          <w:rFonts w:cs="B Titr"/>
          <w:b/>
          <w:bCs/>
          <w:rtl/>
          <w:lang w:bidi="fa-IR"/>
        </w:rPr>
      </w:pPr>
    </w:p>
    <w:sectPr>
      <w:pgSz w:w="16838" w:h="11906" w:orient="landscape"/>
      <w:pgMar w:top="567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D4E2-6A6B-4D9E-9A3C-BBC35C2C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9448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234</cp:revision>
  <cp:lastPrinted>2021-08-24T07:49:00Z</cp:lastPrinted>
  <dcterms:created xsi:type="dcterms:W3CDTF">2019-04-09T07:12:00Z</dcterms:created>
  <dcterms:modified xsi:type="dcterms:W3CDTF">2021-08-25T04:26:00Z</dcterms:modified>
</cp:coreProperties>
</file>